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978F" w14:textId="5A1FE0A7" w:rsidR="00D83123" w:rsidRPr="006C6EEF" w:rsidRDefault="009C1DEF">
      <w:pPr>
        <w:pStyle w:val="BodyText"/>
        <w:ind w:left="285"/>
        <w:rPr>
          <w:rFonts w:ascii="Times New Roman"/>
          <w:sz w:val="20"/>
          <w:lang w:val="es-AR"/>
        </w:rPr>
      </w:pPr>
      <w:r w:rsidRPr="006C6EEF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0E97C1" wp14:editId="5A0E97C2">
                <wp:simplePos x="0" y="0"/>
                <wp:positionH relativeFrom="page">
                  <wp:posOffset>5534155</wp:posOffset>
                </wp:positionH>
                <wp:positionV relativeFrom="page">
                  <wp:posOffset>6441075</wp:posOffset>
                </wp:positionV>
                <wp:extent cx="95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394" y="0"/>
                              </a:moveTo>
                              <a:lnTo>
                                <a:pt x="0" y="0"/>
                              </a:lnTo>
                              <a:lnTo>
                                <a:pt x="9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B0A4C" id="Graphic 1" o:spid="_x0000_s1026" style="position:absolute;margin-left:435.75pt;margin-top:507.15pt;width: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" path="m9394,l,,9394,xe" fillcolor="#d3d3d3" stroked="f">
                <v:path arrowok="t"/>
                <w10:wrap anchorx="page" anchory="page"/>
              </v:shape>
            </w:pict>
          </mc:Fallback>
        </mc:AlternateContent>
      </w:r>
      <w:r w:rsidRPr="006C6EEF">
        <w:rPr>
          <w:rFonts w:ascii="Times New Roman"/>
          <w:noProof/>
          <w:sz w:val="20"/>
        </w:rPr>
        <w:drawing>
          <wp:inline distT="0" distB="0" distL="0" distR="0" wp14:anchorId="5A0E97C5" wp14:editId="4EA842C8">
            <wp:extent cx="2352675" cy="457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9790" w14:textId="77777777" w:rsidR="00D83123" w:rsidRPr="006C6EEF" w:rsidRDefault="00D83123">
      <w:pPr>
        <w:pStyle w:val="BodyText"/>
        <w:spacing w:before="1"/>
        <w:rPr>
          <w:rFonts w:ascii="Times New Roman"/>
          <w:sz w:val="36"/>
          <w:lang w:val="es-AR"/>
        </w:rPr>
      </w:pPr>
    </w:p>
    <w:p w14:paraId="1059A1D1" w14:textId="6C15A2D6" w:rsidR="00796642" w:rsidRPr="006C6EEF" w:rsidRDefault="00796642">
      <w:pPr>
        <w:pStyle w:val="Title"/>
        <w:jc w:val="center"/>
        <w:rPr>
          <w:u w:val="single"/>
          <w:lang w:val="es-AR"/>
        </w:rPr>
      </w:pPr>
      <w:r w:rsidRPr="006C6EEF">
        <w:rPr>
          <w:u w:val="single"/>
          <w:lang w:val="es-AR"/>
        </w:rPr>
        <w:t>Montos generalmente facturados (AGB, en inglés)</w:t>
      </w:r>
    </w:p>
    <w:p w14:paraId="42EC21B6" w14:textId="55E875B8" w:rsidR="009C1A09" w:rsidRPr="006C6EEF" w:rsidRDefault="009C1A09">
      <w:pPr>
        <w:pStyle w:val="Title"/>
        <w:spacing w:before="358"/>
        <w:ind w:left="120"/>
        <w:rPr>
          <w:lang w:val="es-AR"/>
        </w:rPr>
      </w:pPr>
      <w:r w:rsidRPr="006C6EEF">
        <w:rPr>
          <w:lang w:val="es-AR"/>
        </w:rPr>
        <w:t xml:space="preserve">Cálculo de los AGB según el método </w:t>
      </w:r>
      <w:r w:rsidR="00DF45E5" w:rsidRPr="006C6EEF">
        <w:rPr>
          <w:lang w:val="es-AR"/>
        </w:rPr>
        <w:t>retrospectivo</w:t>
      </w:r>
    </w:p>
    <w:p w14:paraId="697408A0" w14:textId="77777777" w:rsidR="00DF45E5" w:rsidRPr="006C6EEF" w:rsidRDefault="00DF45E5" w:rsidP="00796642">
      <w:pPr>
        <w:pStyle w:val="BodyText"/>
        <w:spacing w:line="276" w:lineRule="auto"/>
        <w:ind w:left="120" w:right="90"/>
        <w:rPr>
          <w:lang w:val="es-AR"/>
        </w:rPr>
      </w:pPr>
    </w:p>
    <w:p w14:paraId="081E224F" w14:textId="486D56EE" w:rsidR="00796642" w:rsidRPr="006C6EEF" w:rsidRDefault="00796642" w:rsidP="00796642">
      <w:pPr>
        <w:pStyle w:val="BodyText"/>
        <w:spacing w:line="276" w:lineRule="auto"/>
        <w:ind w:left="120" w:right="90"/>
        <w:rPr>
          <w:lang w:val="es-AR"/>
        </w:rPr>
      </w:pPr>
      <w:r w:rsidRPr="006C6EEF">
        <w:rPr>
          <w:lang w:val="es-AR"/>
        </w:rPr>
        <w:t xml:space="preserve">Según el método </w:t>
      </w:r>
      <w:r w:rsidR="00DF45E5" w:rsidRPr="006C6EEF">
        <w:rPr>
          <w:lang w:val="es-AR"/>
        </w:rPr>
        <w:t xml:space="preserve">retrospectivo </w:t>
      </w:r>
      <w:r w:rsidRPr="006C6EEF">
        <w:rPr>
          <w:lang w:val="es-AR"/>
        </w:rPr>
        <w:t xml:space="preserve">para determinar los AGB, </w:t>
      </w:r>
      <w:r w:rsidR="00DF45E5" w:rsidRPr="006C6EEF">
        <w:rPr>
          <w:lang w:val="es-AR"/>
        </w:rPr>
        <w:t>los</w:t>
      </w:r>
      <w:r w:rsidRPr="006C6EEF">
        <w:rPr>
          <w:lang w:val="es-AR"/>
        </w:rPr>
        <w:t xml:space="preserve"> centro</w:t>
      </w:r>
      <w:r w:rsidR="00DF45E5" w:rsidRPr="006C6EEF">
        <w:rPr>
          <w:lang w:val="es-AR"/>
        </w:rPr>
        <w:t>s</w:t>
      </w:r>
      <w:r w:rsidRPr="006C6EEF">
        <w:rPr>
          <w:lang w:val="es-AR"/>
        </w:rPr>
        <w:t xml:space="preserve"> hospitalario</w:t>
      </w:r>
      <w:r w:rsidR="00DF45E5" w:rsidRPr="006C6EEF">
        <w:rPr>
          <w:lang w:val="es-AR"/>
        </w:rPr>
        <w:t>s</w:t>
      </w:r>
      <w:r w:rsidRPr="006C6EEF">
        <w:rPr>
          <w:lang w:val="es-AR"/>
        </w:rPr>
        <w:t xml:space="preserve"> determina</w:t>
      </w:r>
      <w:r w:rsidR="00DF45E5" w:rsidRPr="006C6EEF">
        <w:rPr>
          <w:lang w:val="es-AR"/>
        </w:rPr>
        <w:t xml:space="preserve">n </w:t>
      </w:r>
      <w:r w:rsidRPr="006C6EEF">
        <w:rPr>
          <w:lang w:val="es-AR"/>
        </w:rPr>
        <w:t xml:space="preserve">los AGB de </w:t>
      </w:r>
      <w:r w:rsidR="00DF45E5" w:rsidRPr="006C6EEF">
        <w:rPr>
          <w:lang w:val="es-AR"/>
        </w:rPr>
        <w:t>toda</w:t>
      </w:r>
      <w:r w:rsidRPr="006C6EEF">
        <w:rPr>
          <w:lang w:val="es-AR"/>
        </w:rPr>
        <w:t xml:space="preserve"> atención de </w:t>
      </w:r>
      <w:r w:rsidR="006C6EEF" w:rsidRPr="006C6EEF">
        <w:rPr>
          <w:lang w:val="es-AR"/>
        </w:rPr>
        <w:t xml:space="preserve">urgencia </w:t>
      </w:r>
      <w:r w:rsidRPr="006C6EEF">
        <w:rPr>
          <w:lang w:val="es-AR"/>
        </w:rPr>
        <w:t>u otra atención médica</w:t>
      </w:r>
      <w:r w:rsidR="009C1A09" w:rsidRPr="006C6EEF">
        <w:rPr>
          <w:lang w:val="es-AR"/>
        </w:rPr>
        <w:t xml:space="preserve"> </w:t>
      </w:r>
      <w:r w:rsidRPr="006C6EEF">
        <w:rPr>
          <w:lang w:val="es-AR"/>
        </w:rPr>
        <w:t xml:space="preserve">necesaria </w:t>
      </w:r>
      <w:r w:rsidR="009C1A09" w:rsidRPr="006C6EEF">
        <w:rPr>
          <w:lang w:val="es-AR"/>
        </w:rPr>
        <w:t xml:space="preserve">brindada </w:t>
      </w:r>
      <w:r w:rsidRPr="006C6EEF">
        <w:rPr>
          <w:lang w:val="es-AR"/>
        </w:rPr>
        <w:t xml:space="preserve">a una persona </w:t>
      </w:r>
      <w:r w:rsidR="00DF45E5" w:rsidRPr="006C6EEF">
        <w:rPr>
          <w:lang w:val="es-AR"/>
        </w:rPr>
        <w:t>que cumpla con los criterios de aptitud descritos en la política de ayuda económica (</w:t>
      </w:r>
      <w:r w:rsidRPr="006C6EEF">
        <w:rPr>
          <w:lang w:val="es-AR"/>
        </w:rPr>
        <w:t>FAP</w:t>
      </w:r>
      <w:r w:rsidR="00DF45E5" w:rsidRPr="006C6EEF">
        <w:rPr>
          <w:lang w:val="es-AR"/>
        </w:rPr>
        <w:t xml:space="preserve">, en inglés) </w:t>
      </w:r>
      <w:r w:rsidRPr="006C6EEF">
        <w:rPr>
          <w:lang w:val="es-AR"/>
        </w:rPr>
        <w:t xml:space="preserve">multiplicando </w:t>
      </w:r>
      <w:r w:rsidR="00DF45E5" w:rsidRPr="006C6EEF">
        <w:rPr>
          <w:lang w:val="es-AR"/>
        </w:rPr>
        <w:t>sus</w:t>
      </w:r>
      <w:r w:rsidRPr="006C6EEF">
        <w:rPr>
          <w:lang w:val="es-AR"/>
        </w:rPr>
        <w:t xml:space="preserve"> </w:t>
      </w:r>
      <w:r w:rsidR="00524294">
        <w:rPr>
          <w:lang w:val="es-AR"/>
        </w:rPr>
        <w:t>cargos</w:t>
      </w:r>
      <w:r w:rsidRPr="006C6EEF">
        <w:rPr>
          <w:lang w:val="es-AR"/>
        </w:rPr>
        <w:t xml:space="preserve"> brutos por uno o más porcentajes de </w:t>
      </w:r>
      <w:r w:rsidR="00DF45E5" w:rsidRPr="006C6EEF">
        <w:rPr>
          <w:lang w:val="es-AR"/>
        </w:rPr>
        <w:t xml:space="preserve">dichos </w:t>
      </w:r>
      <w:r w:rsidR="00524294">
        <w:rPr>
          <w:lang w:val="es-AR"/>
        </w:rPr>
        <w:t>cargos</w:t>
      </w:r>
      <w:r w:rsidRPr="006C6EEF">
        <w:rPr>
          <w:lang w:val="es-AR"/>
        </w:rPr>
        <w:t xml:space="preserve"> brutos, denominados </w:t>
      </w:r>
      <w:r w:rsidR="009C1A09" w:rsidRPr="006C6EEF">
        <w:rPr>
          <w:lang w:val="es-AR"/>
        </w:rPr>
        <w:t>“</w:t>
      </w:r>
      <w:r w:rsidRPr="006C6EEF">
        <w:rPr>
          <w:lang w:val="es-AR"/>
        </w:rPr>
        <w:t xml:space="preserve">porcentajes </w:t>
      </w:r>
      <w:r w:rsidR="009C1A09" w:rsidRPr="006C6EEF">
        <w:rPr>
          <w:lang w:val="es-AR"/>
        </w:rPr>
        <w:t xml:space="preserve">de los </w:t>
      </w:r>
      <w:r w:rsidRPr="006C6EEF">
        <w:rPr>
          <w:lang w:val="es-AR"/>
        </w:rPr>
        <w:t>AGB</w:t>
      </w:r>
      <w:r w:rsidR="009C1A09" w:rsidRPr="006C6EEF">
        <w:rPr>
          <w:lang w:val="es-AR"/>
        </w:rPr>
        <w:t>”</w:t>
      </w:r>
      <w:r w:rsidRPr="006C6EEF">
        <w:rPr>
          <w:lang w:val="es-AR"/>
        </w:rPr>
        <w:t xml:space="preserve">. Los centros hospitalarios deben calcular sus porcentajes </w:t>
      </w:r>
      <w:r w:rsidR="009C1A09" w:rsidRPr="006C6EEF">
        <w:rPr>
          <w:lang w:val="es-AR"/>
        </w:rPr>
        <w:t xml:space="preserve">de los </w:t>
      </w:r>
      <w:r w:rsidRPr="006C6EEF">
        <w:rPr>
          <w:lang w:val="es-AR"/>
        </w:rPr>
        <w:t xml:space="preserve">AGB al menos una vez al año dividiendo la suma de los </w:t>
      </w:r>
      <w:r w:rsidR="00DF45E5" w:rsidRPr="006C6EEF">
        <w:rPr>
          <w:lang w:val="es-AR"/>
        </w:rPr>
        <w:t xml:space="preserve">montos correspondientes a </w:t>
      </w:r>
      <w:r w:rsidR="009C1A09" w:rsidRPr="006C6EEF">
        <w:rPr>
          <w:lang w:val="es-AR"/>
        </w:rPr>
        <w:t xml:space="preserve">todas sus reclamaciones </w:t>
      </w:r>
      <w:r w:rsidRPr="006C6EEF">
        <w:rPr>
          <w:lang w:val="es-AR"/>
        </w:rPr>
        <w:t xml:space="preserve">por atención de </w:t>
      </w:r>
      <w:r w:rsidR="006C6EEF" w:rsidRPr="006C6EEF">
        <w:rPr>
          <w:lang w:val="es-AR"/>
        </w:rPr>
        <w:t xml:space="preserve">urgencia </w:t>
      </w:r>
      <w:r w:rsidRPr="006C6EEF">
        <w:rPr>
          <w:lang w:val="es-AR"/>
        </w:rPr>
        <w:t xml:space="preserve">u otra atención médica necesaria que hayan sido autorizadas por determinadas </w:t>
      </w:r>
      <w:r w:rsidR="009C1A09" w:rsidRPr="006C6EEF">
        <w:rPr>
          <w:lang w:val="es-AR"/>
        </w:rPr>
        <w:t xml:space="preserve">compañías de seguros de salud </w:t>
      </w:r>
      <w:r w:rsidRPr="006C6EEF">
        <w:rPr>
          <w:lang w:val="es-AR"/>
        </w:rPr>
        <w:t>durante un per</w:t>
      </w:r>
      <w:r w:rsidR="009C1A09" w:rsidRPr="006C6EEF">
        <w:rPr>
          <w:lang w:val="es-AR"/>
        </w:rPr>
        <w:t>í</w:t>
      </w:r>
      <w:r w:rsidRPr="006C6EEF">
        <w:rPr>
          <w:lang w:val="es-AR"/>
        </w:rPr>
        <w:t xml:space="preserve">odo anterior de 12 meses </w:t>
      </w:r>
      <w:r w:rsidR="00DF45E5" w:rsidRPr="006C6EEF">
        <w:rPr>
          <w:lang w:val="es-AR"/>
        </w:rPr>
        <w:t xml:space="preserve">por </w:t>
      </w:r>
      <w:r w:rsidRPr="006C6EEF">
        <w:rPr>
          <w:lang w:val="es-AR"/>
        </w:rPr>
        <w:t xml:space="preserve">la suma de los </w:t>
      </w:r>
      <w:r w:rsidR="00524294">
        <w:rPr>
          <w:lang w:val="es-AR"/>
        </w:rPr>
        <w:t xml:space="preserve">cargos </w:t>
      </w:r>
      <w:r w:rsidRPr="006C6EEF">
        <w:rPr>
          <w:lang w:val="es-AR"/>
        </w:rPr>
        <w:t xml:space="preserve">brutos asociados a dichas reclamaciones. </w:t>
      </w:r>
      <w:r w:rsidR="009C1A09" w:rsidRPr="006C6EEF">
        <w:rPr>
          <w:lang w:val="es-AR"/>
        </w:rPr>
        <w:t xml:space="preserve">Para calcular los </w:t>
      </w:r>
      <w:r w:rsidRPr="006C6EEF">
        <w:rPr>
          <w:lang w:val="es-AR"/>
        </w:rPr>
        <w:t>AGB</w:t>
      </w:r>
      <w:r w:rsidR="009C1A09" w:rsidRPr="006C6EEF">
        <w:rPr>
          <w:lang w:val="es-AR"/>
        </w:rPr>
        <w:t xml:space="preserve">, el </w:t>
      </w:r>
      <w:r w:rsidR="00DF45E5" w:rsidRPr="006C6EEF">
        <w:rPr>
          <w:lang w:val="es-AR"/>
        </w:rPr>
        <w:t>h</w:t>
      </w:r>
      <w:r w:rsidR="009C1A09" w:rsidRPr="006C6EEF">
        <w:rPr>
          <w:lang w:val="es-AR"/>
        </w:rPr>
        <w:t>ospital u</w:t>
      </w:r>
      <w:r w:rsidRPr="006C6EEF">
        <w:rPr>
          <w:lang w:val="es-AR"/>
        </w:rPr>
        <w:t>tiliza</w:t>
      </w:r>
      <w:r w:rsidR="009C1A09" w:rsidRPr="006C6EEF">
        <w:rPr>
          <w:lang w:val="es-AR"/>
        </w:rPr>
        <w:t xml:space="preserve"> </w:t>
      </w:r>
      <w:r w:rsidRPr="006C6EEF">
        <w:rPr>
          <w:lang w:val="es-AR"/>
        </w:rPr>
        <w:t xml:space="preserve">reclamaciones </w:t>
      </w:r>
      <w:r w:rsidR="009C1A09" w:rsidRPr="006C6EEF">
        <w:rPr>
          <w:lang w:val="es-AR"/>
        </w:rPr>
        <w:t xml:space="preserve">comerciales y </w:t>
      </w:r>
      <w:r w:rsidRPr="006C6EEF">
        <w:rPr>
          <w:lang w:val="es-AR"/>
        </w:rPr>
        <w:t>de Medicare.</w:t>
      </w:r>
    </w:p>
    <w:p w14:paraId="5A0E9795" w14:textId="77777777" w:rsidR="00D83123" w:rsidRPr="006C6EEF" w:rsidRDefault="009C1DEF">
      <w:pPr>
        <w:pStyle w:val="BodyText"/>
        <w:spacing w:before="51"/>
        <w:rPr>
          <w:sz w:val="20"/>
          <w:lang w:val="es-AR"/>
        </w:rPr>
      </w:pPr>
      <w:r w:rsidRPr="006C6EEF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A0E97C7" wp14:editId="5A0E97C8">
                <wp:simplePos x="0" y="0"/>
                <wp:positionH relativeFrom="page">
                  <wp:posOffset>914400</wp:posOffset>
                </wp:positionH>
                <wp:positionV relativeFrom="paragraph">
                  <wp:posOffset>196640</wp:posOffset>
                </wp:positionV>
                <wp:extent cx="58197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19050">
                              <a:moveTo>
                                <a:pt x="0" y="19050"/>
                              </a:moveTo>
                              <a:lnTo>
                                <a:pt x="58197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0763" id="Graphic 4" o:spid="_x0000_s1026" style="position:absolute;margin-left:1in;margin-top:15.5pt;width:458.25pt;height:1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" path="m,19050l5819775,e" filled="f">
                <v:path arrowok="t"/>
                <w10:wrap type="topAndBottom" anchorx="page"/>
              </v:shape>
            </w:pict>
          </mc:Fallback>
        </mc:AlternateContent>
      </w:r>
    </w:p>
    <w:p w14:paraId="5A0E9796" w14:textId="77777777" w:rsidR="00D83123" w:rsidRPr="006C6EEF" w:rsidRDefault="00D83123">
      <w:pPr>
        <w:pStyle w:val="BodyText"/>
        <w:spacing w:before="91"/>
        <w:rPr>
          <w:lang w:val="es-AR"/>
        </w:rPr>
      </w:pPr>
    </w:p>
    <w:p w14:paraId="5A0E9797" w14:textId="4CA37E53" w:rsidR="00D83123" w:rsidRPr="006C6EEF" w:rsidRDefault="009C1A09">
      <w:pPr>
        <w:ind w:left="120"/>
        <w:rPr>
          <w:b/>
          <w:sz w:val="32"/>
          <w:lang w:val="es-AR"/>
        </w:rPr>
      </w:pPr>
      <w:r w:rsidRPr="006C6EEF">
        <w:rPr>
          <w:b/>
          <w:color w:val="1B1B1B"/>
          <w:sz w:val="32"/>
          <w:highlight w:val="yellow"/>
          <w:lang w:val="es-AR"/>
        </w:rPr>
        <w:t>Ejercicio fiscal 202</w:t>
      </w:r>
      <w:r w:rsidR="003052E0">
        <w:rPr>
          <w:b/>
          <w:color w:val="1B1B1B"/>
          <w:sz w:val="32"/>
          <w:highlight w:val="yellow"/>
          <w:lang w:val="es-AR"/>
        </w:rPr>
        <w:t>6</w:t>
      </w:r>
      <w:r w:rsidRPr="006C6EEF">
        <w:rPr>
          <w:b/>
          <w:color w:val="1B1B1B"/>
          <w:sz w:val="32"/>
          <w:highlight w:val="yellow"/>
          <w:lang w:val="es-AR"/>
        </w:rPr>
        <w:t xml:space="preserve"> correspondiente a los </w:t>
      </w:r>
      <w:r w:rsidR="009C1DEF" w:rsidRPr="006C6EEF">
        <w:rPr>
          <w:b/>
          <w:color w:val="1B1B1B"/>
          <w:sz w:val="32"/>
          <w:highlight w:val="yellow"/>
          <w:lang w:val="es-AR"/>
        </w:rPr>
        <w:t>AGB</w:t>
      </w:r>
      <w:r w:rsidR="009C1DEF" w:rsidRPr="006C6EEF">
        <w:rPr>
          <w:b/>
          <w:color w:val="1B1B1B"/>
          <w:spacing w:val="-9"/>
          <w:sz w:val="32"/>
          <w:highlight w:val="yellow"/>
          <w:lang w:val="es-AR"/>
        </w:rPr>
        <w:t xml:space="preserve"> </w:t>
      </w:r>
      <w:r w:rsidR="009C1DEF" w:rsidRPr="006C6EEF">
        <w:rPr>
          <w:b/>
          <w:color w:val="1B1B1B"/>
          <w:sz w:val="32"/>
          <w:highlight w:val="yellow"/>
          <w:lang w:val="es-AR"/>
        </w:rPr>
        <w:t>(</w:t>
      </w:r>
      <w:r w:rsidRPr="006C6EEF">
        <w:rPr>
          <w:b/>
          <w:color w:val="1B1B1B"/>
          <w:sz w:val="32"/>
          <w:highlight w:val="yellow"/>
          <w:lang w:val="es-AR"/>
        </w:rPr>
        <w:t>1 de octubre de</w:t>
      </w:r>
      <w:r w:rsidR="009C1DEF" w:rsidRPr="006C6EEF">
        <w:rPr>
          <w:b/>
          <w:color w:val="1B1B1B"/>
          <w:spacing w:val="-7"/>
          <w:sz w:val="32"/>
          <w:highlight w:val="yellow"/>
          <w:lang w:val="es-AR"/>
        </w:rPr>
        <w:t xml:space="preserve"> </w:t>
      </w:r>
      <w:r w:rsidR="009C1DEF" w:rsidRPr="006C6EEF">
        <w:rPr>
          <w:b/>
          <w:color w:val="1B1B1B"/>
          <w:sz w:val="32"/>
          <w:highlight w:val="yellow"/>
          <w:lang w:val="es-AR"/>
        </w:rPr>
        <w:t>202</w:t>
      </w:r>
      <w:r w:rsidR="003052E0">
        <w:rPr>
          <w:b/>
          <w:color w:val="1B1B1B"/>
          <w:sz w:val="32"/>
          <w:highlight w:val="yellow"/>
          <w:lang w:val="es-AR"/>
        </w:rPr>
        <w:t>4</w:t>
      </w:r>
      <w:r w:rsidR="009C1DEF" w:rsidRPr="006C6EEF">
        <w:rPr>
          <w:b/>
          <w:color w:val="1B1B1B"/>
          <w:spacing w:val="-9"/>
          <w:sz w:val="32"/>
          <w:highlight w:val="yellow"/>
          <w:lang w:val="es-AR"/>
        </w:rPr>
        <w:t xml:space="preserve"> </w:t>
      </w:r>
      <w:r w:rsidR="009C1DEF" w:rsidRPr="006C6EEF">
        <w:rPr>
          <w:b/>
          <w:color w:val="1B1B1B"/>
          <w:sz w:val="32"/>
          <w:highlight w:val="yellow"/>
          <w:lang w:val="es-AR"/>
        </w:rPr>
        <w:t>–30</w:t>
      </w:r>
      <w:r w:rsidR="009C1DEF" w:rsidRPr="006C6EEF">
        <w:rPr>
          <w:b/>
          <w:color w:val="1B1B1B"/>
          <w:spacing w:val="-7"/>
          <w:sz w:val="32"/>
          <w:highlight w:val="yellow"/>
          <w:lang w:val="es-AR"/>
        </w:rPr>
        <w:t xml:space="preserve"> </w:t>
      </w:r>
      <w:r w:rsidRPr="006C6EEF">
        <w:rPr>
          <w:b/>
          <w:color w:val="1B1B1B"/>
          <w:spacing w:val="-7"/>
          <w:sz w:val="32"/>
          <w:highlight w:val="yellow"/>
          <w:lang w:val="es-AR"/>
        </w:rPr>
        <w:t xml:space="preserve">de septiembre de </w:t>
      </w:r>
      <w:r w:rsidR="009C1DEF" w:rsidRPr="006C6EEF">
        <w:rPr>
          <w:b/>
          <w:color w:val="1B1B1B"/>
          <w:spacing w:val="-2"/>
          <w:sz w:val="32"/>
          <w:highlight w:val="yellow"/>
          <w:lang w:val="es-AR"/>
        </w:rPr>
        <w:t>202</w:t>
      </w:r>
      <w:r w:rsidR="003052E0">
        <w:rPr>
          <w:b/>
          <w:color w:val="1B1B1B"/>
          <w:spacing w:val="-2"/>
          <w:sz w:val="32"/>
          <w:highlight w:val="yellow"/>
          <w:lang w:val="es-AR"/>
        </w:rPr>
        <w:t>5</w:t>
      </w:r>
      <w:r w:rsidR="009C1DEF" w:rsidRPr="006C6EEF">
        <w:rPr>
          <w:b/>
          <w:color w:val="1B1B1B"/>
          <w:spacing w:val="-2"/>
          <w:sz w:val="32"/>
          <w:highlight w:val="yellow"/>
          <w:lang w:val="es-AR"/>
        </w:rPr>
        <w:t>)</w:t>
      </w:r>
    </w:p>
    <w:p w14:paraId="5A0E9798" w14:textId="13FA53EB" w:rsidR="00D83123" w:rsidRPr="006C6EEF" w:rsidRDefault="004D0FE9">
      <w:pPr>
        <w:pStyle w:val="BodyText"/>
        <w:spacing w:before="35" w:after="1"/>
        <w:rPr>
          <w:b/>
          <w:sz w:val="20"/>
          <w:lang w:val="es-AR"/>
        </w:rPr>
      </w:pPr>
      <w:r w:rsidRPr="006C6EEF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A0E97C3" wp14:editId="357D9AAA">
                <wp:simplePos x="0" y="0"/>
                <wp:positionH relativeFrom="page">
                  <wp:posOffset>7858125</wp:posOffset>
                </wp:positionH>
                <wp:positionV relativeFrom="page">
                  <wp:posOffset>4914900</wp:posOffset>
                </wp:positionV>
                <wp:extent cx="2296160" cy="1524000"/>
                <wp:effectExtent l="0" t="0" r="889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60" h="1524000">
                              <a:moveTo>
                                <a:pt x="0" y="1523964"/>
                              </a:moveTo>
                              <a:lnTo>
                                <a:pt x="4619755" y="1523964"/>
                              </a:lnTo>
                              <a:lnTo>
                                <a:pt x="4619755" y="0"/>
                              </a:lnTo>
                              <a:lnTo>
                                <a:pt x="0" y="0"/>
                              </a:lnTo>
                              <a:lnTo>
                                <a:pt x="0" y="1523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38CC83" id="Graphic 2" o:spid="_x0000_s1026" style="position:absolute;margin-left:618.75pt;margin-top:387pt;width:180.8pt;height:120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4620260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" path="m,1523964r4619755,l4619755,,,,,1523964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2323"/>
        <w:gridCol w:w="2329"/>
        <w:gridCol w:w="2348"/>
      </w:tblGrid>
      <w:tr w:rsidR="00831AFC" w:rsidRPr="000A7099" w14:paraId="20CBCDFC" w14:textId="77777777" w:rsidTr="00F2155B">
        <w:tc>
          <w:tcPr>
            <w:tcW w:w="2350" w:type="dxa"/>
          </w:tcPr>
          <w:p w14:paraId="4D5465AD" w14:textId="77777777" w:rsidR="00831AFC" w:rsidRPr="00153E3D" w:rsidRDefault="00831AFC" w:rsidP="00F2155B">
            <w:pPr>
              <w:rPr>
                <w:lang w:val="es-419"/>
              </w:rPr>
            </w:pPr>
            <w:r>
              <w:rPr>
                <w:lang w:val="es-419"/>
              </w:rPr>
              <w:t>Servicio</w:t>
            </w:r>
          </w:p>
        </w:tc>
        <w:tc>
          <w:tcPr>
            <w:tcW w:w="2323" w:type="dxa"/>
          </w:tcPr>
          <w:p w14:paraId="39CD7630" w14:textId="77777777" w:rsidR="00831AFC" w:rsidRPr="00153E3D" w:rsidRDefault="00831AFC" w:rsidP="00F2155B">
            <w:pPr>
              <w:rPr>
                <w:lang w:val="es-419"/>
              </w:rPr>
            </w:pPr>
            <w:r>
              <w:rPr>
                <w:lang w:val="es-419"/>
              </w:rPr>
              <w:t>Cargos</w:t>
            </w:r>
            <w:r w:rsidRPr="00153E3D">
              <w:rPr>
                <w:lang w:val="es-419"/>
              </w:rPr>
              <w:t xml:space="preserve"> total</w:t>
            </w:r>
            <w:r>
              <w:rPr>
                <w:lang w:val="es-419"/>
              </w:rPr>
              <w:t>es</w:t>
            </w:r>
          </w:p>
        </w:tc>
        <w:tc>
          <w:tcPr>
            <w:tcW w:w="2329" w:type="dxa"/>
          </w:tcPr>
          <w:p w14:paraId="1A3BEF33" w14:textId="77777777" w:rsidR="00831AFC" w:rsidRPr="00153E3D" w:rsidRDefault="00831AFC" w:rsidP="00F2155B">
            <w:pPr>
              <w:rPr>
                <w:lang w:val="es-419"/>
              </w:rPr>
            </w:pPr>
            <w:r>
              <w:rPr>
                <w:lang w:val="es-419"/>
              </w:rPr>
              <w:t xml:space="preserve">Monto </w:t>
            </w:r>
            <w:r w:rsidRPr="00153E3D">
              <w:rPr>
                <w:lang w:val="es-419"/>
              </w:rPr>
              <w:t>total</w:t>
            </w:r>
            <w:r>
              <w:rPr>
                <w:lang w:val="es-419"/>
              </w:rPr>
              <w:t xml:space="preserve"> recibido</w:t>
            </w:r>
          </w:p>
        </w:tc>
        <w:tc>
          <w:tcPr>
            <w:tcW w:w="2348" w:type="dxa"/>
          </w:tcPr>
          <w:p w14:paraId="08543040" w14:textId="77777777" w:rsidR="00831AFC" w:rsidRPr="00153E3D" w:rsidRDefault="00831AFC" w:rsidP="00F2155B">
            <w:pPr>
              <w:rPr>
                <w:lang w:val="es-419"/>
              </w:rPr>
            </w:pPr>
            <w:r w:rsidRPr="00153E3D">
              <w:rPr>
                <w:lang w:val="es-419"/>
              </w:rPr>
              <w:t xml:space="preserve">Porcentaje </w:t>
            </w:r>
            <w:r>
              <w:rPr>
                <w:lang w:val="es-419"/>
              </w:rPr>
              <w:t xml:space="preserve">de los </w:t>
            </w:r>
            <w:r w:rsidRPr="00153E3D">
              <w:rPr>
                <w:lang w:val="es-419"/>
              </w:rPr>
              <w:t>AGB (descuento)</w:t>
            </w:r>
          </w:p>
        </w:tc>
      </w:tr>
      <w:tr w:rsidR="003052E0" w:rsidRPr="00153E3D" w14:paraId="2A2D9628" w14:textId="77777777" w:rsidTr="00F2155B">
        <w:tc>
          <w:tcPr>
            <w:tcW w:w="2350" w:type="dxa"/>
          </w:tcPr>
          <w:p w14:paraId="45AA0201" w14:textId="77777777" w:rsidR="003052E0" w:rsidRPr="00153E3D" w:rsidRDefault="003052E0" w:rsidP="003052E0">
            <w:pPr>
              <w:rPr>
                <w:lang w:val="es-419"/>
              </w:rPr>
            </w:pPr>
            <w:r w:rsidRPr="00153E3D">
              <w:rPr>
                <w:lang w:val="es-419"/>
              </w:rPr>
              <w:t xml:space="preserve">Todos los demás servicios </w:t>
            </w:r>
          </w:p>
        </w:tc>
        <w:tc>
          <w:tcPr>
            <w:tcW w:w="2323" w:type="dxa"/>
          </w:tcPr>
          <w:p w14:paraId="261BC8D1" w14:textId="66D01FC0" w:rsidR="003052E0" w:rsidRPr="00153E3D" w:rsidRDefault="003052E0" w:rsidP="003052E0">
            <w:pPr>
              <w:rPr>
                <w:lang w:val="es-419"/>
              </w:rPr>
            </w:pPr>
            <w:r w:rsidRPr="00D253EB">
              <w:t xml:space="preserve"> </w:t>
            </w:r>
            <w:proofErr w:type="gramStart"/>
            <w:r w:rsidRPr="00D253EB">
              <w:t>$  2,941,682,580.00</w:t>
            </w:r>
            <w:proofErr w:type="gramEnd"/>
            <w:r w:rsidRPr="00D253EB">
              <w:t xml:space="preserve"> </w:t>
            </w:r>
          </w:p>
        </w:tc>
        <w:tc>
          <w:tcPr>
            <w:tcW w:w="2329" w:type="dxa"/>
          </w:tcPr>
          <w:p w14:paraId="12F3B559" w14:textId="0FBE696C" w:rsidR="003052E0" w:rsidRPr="00153E3D" w:rsidRDefault="003052E0" w:rsidP="003052E0">
            <w:pPr>
              <w:rPr>
                <w:lang w:val="es-419"/>
              </w:rPr>
            </w:pPr>
            <w:r w:rsidRPr="00D253EB">
              <w:t xml:space="preserve"> $      613,885,591.00 </w:t>
            </w:r>
          </w:p>
        </w:tc>
        <w:tc>
          <w:tcPr>
            <w:tcW w:w="2348" w:type="dxa"/>
          </w:tcPr>
          <w:p w14:paraId="2A80CC62" w14:textId="0BE42E47" w:rsidR="003052E0" w:rsidRPr="00153E3D" w:rsidRDefault="003052E0" w:rsidP="003052E0">
            <w:pPr>
              <w:rPr>
                <w:lang w:val="es-419"/>
              </w:rPr>
            </w:pPr>
            <w:r w:rsidRPr="00D253EB">
              <w:t>79%</w:t>
            </w:r>
          </w:p>
        </w:tc>
      </w:tr>
      <w:tr w:rsidR="003052E0" w:rsidRPr="00153E3D" w14:paraId="616DC9B4" w14:textId="77777777" w:rsidTr="00F2155B">
        <w:tc>
          <w:tcPr>
            <w:tcW w:w="2350" w:type="dxa"/>
          </w:tcPr>
          <w:p w14:paraId="31E64C1B" w14:textId="77777777" w:rsidR="003052E0" w:rsidRPr="00153E3D" w:rsidRDefault="003052E0" w:rsidP="003052E0">
            <w:pPr>
              <w:rPr>
                <w:lang w:val="es-419"/>
              </w:rPr>
            </w:pPr>
            <w:r>
              <w:rPr>
                <w:lang w:val="es-419"/>
              </w:rPr>
              <w:t>Urgencias</w:t>
            </w:r>
          </w:p>
        </w:tc>
        <w:tc>
          <w:tcPr>
            <w:tcW w:w="2323" w:type="dxa"/>
          </w:tcPr>
          <w:p w14:paraId="6B027DE6" w14:textId="2CFE74CA" w:rsidR="003052E0" w:rsidRPr="00153E3D" w:rsidRDefault="003052E0" w:rsidP="003052E0">
            <w:pPr>
              <w:rPr>
                <w:lang w:val="es-419"/>
              </w:rPr>
            </w:pPr>
            <w:r w:rsidRPr="00D253EB">
              <w:t xml:space="preserve"> $      663,943,460.00 </w:t>
            </w:r>
          </w:p>
        </w:tc>
        <w:tc>
          <w:tcPr>
            <w:tcW w:w="2329" w:type="dxa"/>
          </w:tcPr>
          <w:p w14:paraId="59A4D571" w14:textId="040CB03E" w:rsidR="003052E0" w:rsidRPr="00153E3D" w:rsidRDefault="003052E0" w:rsidP="003052E0">
            <w:pPr>
              <w:rPr>
                <w:lang w:val="es-419"/>
              </w:rPr>
            </w:pPr>
            <w:r w:rsidRPr="00D253EB">
              <w:t xml:space="preserve"> $      127,005,821.00 </w:t>
            </w:r>
          </w:p>
        </w:tc>
        <w:tc>
          <w:tcPr>
            <w:tcW w:w="2348" w:type="dxa"/>
          </w:tcPr>
          <w:p w14:paraId="239D37AE" w14:textId="17B76906" w:rsidR="003052E0" w:rsidRPr="00153E3D" w:rsidRDefault="003052E0" w:rsidP="003052E0">
            <w:pPr>
              <w:rPr>
                <w:lang w:val="es-419"/>
              </w:rPr>
            </w:pPr>
            <w:r w:rsidRPr="00D253EB">
              <w:t>81%</w:t>
            </w:r>
          </w:p>
        </w:tc>
      </w:tr>
      <w:tr w:rsidR="003052E0" w:rsidRPr="00153E3D" w14:paraId="42937BEE" w14:textId="77777777" w:rsidTr="00F2155B">
        <w:tc>
          <w:tcPr>
            <w:tcW w:w="2350" w:type="dxa"/>
          </w:tcPr>
          <w:p w14:paraId="4BDFE0C5" w14:textId="77777777" w:rsidR="003052E0" w:rsidRPr="00153E3D" w:rsidRDefault="003052E0" w:rsidP="003052E0">
            <w:pPr>
              <w:rPr>
                <w:lang w:val="es-419"/>
              </w:rPr>
            </w:pPr>
            <w:r w:rsidRPr="00153E3D">
              <w:rPr>
                <w:lang w:val="es-419"/>
              </w:rPr>
              <w:t>Laboratorio</w:t>
            </w:r>
          </w:p>
        </w:tc>
        <w:tc>
          <w:tcPr>
            <w:tcW w:w="2323" w:type="dxa"/>
          </w:tcPr>
          <w:p w14:paraId="66BED25C" w14:textId="38D3374F" w:rsidR="003052E0" w:rsidRPr="00153E3D" w:rsidRDefault="003052E0" w:rsidP="003052E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lang w:val="es-419"/>
              </w:rPr>
            </w:pPr>
            <w:r w:rsidRPr="00D253EB">
              <w:t xml:space="preserve"> $       195,990,497.00 </w:t>
            </w:r>
          </w:p>
        </w:tc>
        <w:tc>
          <w:tcPr>
            <w:tcW w:w="2329" w:type="dxa"/>
          </w:tcPr>
          <w:p w14:paraId="419909BC" w14:textId="128FFD12" w:rsidR="003052E0" w:rsidRPr="00153E3D" w:rsidRDefault="003052E0" w:rsidP="003052E0">
            <w:pPr>
              <w:rPr>
                <w:lang w:val="es-419"/>
              </w:rPr>
            </w:pPr>
            <w:r w:rsidRPr="00D253EB">
              <w:t xml:space="preserve"> $        15,994,313.00 </w:t>
            </w:r>
          </w:p>
        </w:tc>
        <w:tc>
          <w:tcPr>
            <w:tcW w:w="2348" w:type="dxa"/>
          </w:tcPr>
          <w:p w14:paraId="271743DF" w14:textId="7C8DA9AA" w:rsidR="003052E0" w:rsidRPr="00153E3D" w:rsidRDefault="003052E0" w:rsidP="003052E0">
            <w:pPr>
              <w:rPr>
                <w:lang w:val="es-419"/>
              </w:rPr>
            </w:pPr>
            <w:r w:rsidRPr="00D253EB">
              <w:t>92%</w:t>
            </w:r>
          </w:p>
        </w:tc>
      </w:tr>
      <w:tr w:rsidR="003052E0" w:rsidRPr="00153E3D" w14:paraId="3477FFAF" w14:textId="77777777" w:rsidTr="00F2155B">
        <w:tc>
          <w:tcPr>
            <w:tcW w:w="2350" w:type="dxa"/>
          </w:tcPr>
          <w:p w14:paraId="2F0642F6" w14:textId="77777777" w:rsidR="003052E0" w:rsidRPr="00153E3D" w:rsidRDefault="003052E0" w:rsidP="003052E0">
            <w:pPr>
              <w:rPr>
                <w:lang w:val="es-419"/>
              </w:rPr>
            </w:pPr>
            <w:r w:rsidRPr="00153E3D">
              <w:rPr>
                <w:lang w:val="es-419"/>
              </w:rPr>
              <w:t xml:space="preserve">Oncología </w:t>
            </w:r>
            <w:r>
              <w:rPr>
                <w:lang w:val="es-419"/>
              </w:rPr>
              <w:t>M</w:t>
            </w:r>
            <w:r w:rsidRPr="00153E3D">
              <w:rPr>
                <w:lang w:val="es-419"/>
              </w:rPr>
              <w:t>édica</w:t>
            </w:r>
          </w:p>
        </w:tc>
        <w:tc>
          <w:tcPr>
            <w:tcW w:w="2323" w:type="dxa"/>
          </w:tcPr>
          <w:p w14:paraId="1E43A79E" w14:textId="3320A503" w:rsidR="003052E0" w:rsidRPr="00153E3D" w:rsidRDefault="003052E0" w:rsidP="003052E0">
            <w:pPr>
              <w:rPr>
                <w:lang w:val="es-419"/>
              </w:rPr>
            </w:pPr>
            <w:r w:rsidRPr="00D253EB">
              <w:t xml:space="preserve"> $      499,999,467.00 </w:t>
            </w:r>
          </w:p>
        </w:tc>
        <w:tc>
          <w:tcPr>
            <w:tcW w:w="2329" w:type="dxa"/>
          </w:tcPr>
          <w:p w14:paraId="2482207B" w14:textId="5DA8923A" w:rsidR="003052E0" w:rsidRPr="00153E3D" w:rsidRDefault="003052E0" w:rsidP="003052E0">
            <w:pPr>
              <w:rPr>
                <w:lang w:val="es-419"/>
              </w:rPr>
            </w:pPr>
            <w:r w:rsidRPr="00D253EB">
              <w:t xml:space="preserve"> $        89,326,238.00 </w:t>
            </w:r>
          </w:p>
        </w:tc>
        <w:tc>
          <w:tcPr>
            <w:tcW w:w="2348" w:type="dxa"/>
          </w:tcPr>
          <w:p w14:paraId="2F24DE7C" w14:textId="1A4962C9" w:rsidR="003052E0" w:rsidRPr="00153E3D" w:rsidRDefault="003052E0" w:rsidP="003052E0">
            <w:pPr>
              <w:rPr>
                <w:lang w:val="es-419"/>
              </w:rPr>
            </w:pPr>
            <w:r w:rsidRPr="00D253EB">
              <w:t>82%</w:t>
            </w:r>
          </w:p>
        </w:tc>
      </w:tr>
      <w:tr w:rsidR="003052E0" w:rsidRPr="00153E3D" w14:paraId="48A8DC6A" w14:textId="77777777" w:rsidTr="00F2155B">
        <w:tc>
          <w:tcPr>
            <w:tcW w:w="2350" w:type="dxa"/>
          </w:tcPr>
          <w:p w14:paraId="7A989EBC" w14:textId="77777777" w:rsidR="003052E0" w:rsidRPr="00153E3D" w:rsidRDefault="003052E0" w:rsidP="003052E0">
            <w:pPr>
              <w:rPr>
                <w:lang w:val="es-419"/>
              </w:rPr>
            </w:pPr>
            <w:r w:rsidRPr="00153E3D">
              <w:rPr>
                <w:lang w:val="es-419"/>
              </w:rPr>
              <w:t xml:space="preserve">Cirugía </w:t>
            </w:r>
            <w:r>
              <w:rPr>
                <w:lang w:val="es-419"/>
              </w:rPr>
              <w:t>A</w:t>
            </w:r>
            <w:r w:rsidRPr="00153E3D">
              <w:rPr>
                <w:lang w:val="es-419"/>
              </w:rPr>
              <w:t>mbulatoria</w:t>
            </w:r>
          </w:p>
        </w:tc>
        <w:tc>
          <w:tcPr>
            <w:tcW w:w="2323" w:type="dxa"/>
          </w:tcPr>
          <w:p w14:paraId="4C0E7B0C" w14:textId="0667437A" w:rsidR="003052E0" w:rsidRPr="00153E3D" w:rsidRDefault="003052E0" w:rsidP="003052E0">
            <w:pPr>
              <w:rPr>
                <w:lang w:val="es-419"/>
              </w:rPr>
            </w:pPr>
            <w:r w:rsidRPr="00D253EB">
              <w:t xml:space="preserve"> </w:t>
            </w:r>
            <w:proofErr w:type="gramStart"/>
            <w:r w:rsidRPr="00D253EB">
              <w:t>$  1,016,807,426.00</w:t>
            </w:r>
            <w:proofErr w:type="gramEnd"/>
            <w:r w:rsidRPr="00D253EB">
              <w:t xml:space="preserve"> </w:t>
            </w:r>
          </w:p>
        </w:tc>
        <w:tc>
          <w:tcPr>
            <w:tcW w:w="2329" w:type="dxa"/>
          </w:tcPr>
          <w:p w14:paraId="629352CD" w14:textId="103EB956" w:rsidR="003052E0" w:rsidRPr="00153E3D" w:rsidRDefault="003052E0" w:rsidP="003052E0">
            <w:pPr>
              <w:rPr>
                <w:lang w:val="es-419"/>
              </w:rPr>
            </w:pPr>
            <w:r w:rsidRPr="00D253EB">
              <w:t xml:space="preserve"> $      239,636,349.00 </w:t>
            </w:r>
          </w:p>
        </w:tc>
        <w:tc>
          <w:tcPr>
            <w:tcW w:w="2348" w:type="dxa"/>
          </w:tcPr>
          <w:p w14:paraId="48DC5B56" w14:textId="7EF7BE60" w:rsidR="003052E0" w:rsidRPr="00153E3D" w:rsidRDefault="003052E0" w:rsidP="003052E0">
            <w:pPr>
              <w:rPr>
                <w:lang w:val="es-419"/>
              </w:rPr>
            </w:pPr>
            <w:r w:rsidRPr="00D253EB">
              <w:t>76%</w:t>
            </w:r>
          </w:p>
        </w:tc>
      </w:tr>
      <w:tr w:rsidR="003052E0" w:rsidRPr="00153E3D" w14:paraId="49DB4A0D" w14:textId="77777777" w:rsidTr="00F2155B">
        <w:tc>
          <w:tcPr>
            <w:tcW w:w="2350" w:type="dxa"/>
          </w:tcPr>
          <w:p w14:paraId="111CB71C" w14:textId="77777777" w:rsidR="003052E0" w:rsidRPr="00153E3D" w:rsidRDefault="003052E0" w:rsidP="003052E0">
            <w:pPr>
              <w:rPr>
                <w:lang w:val="es-419"/>
              </w:rPr>
            </w:pPr>
            <w:r w:rsidRPr="00153E3D">
              <w:rPr>
                <w:lang w:val="es-419"/>
              </w:rPr>
              <w:t>Radiología</w:t>
            </w:r>
          </w:p>
        </w:tc>
        <w:tc>
          <w:tcPr>
            <w:tcW w:w="2323" w:type="dxa"/>
          </w:tcPr>
          <w:p w14:paraId="15A97688" w14:textId="50897EA6" w:rsidR="003052E0" w:rsidRPr="00153E3D" w:rsidRDefault="003052E0" w:rsidP="003052E0">
            <w:pPr>
              <w:rPr>
                <w:lang w:val="es-419"/>
              </w:rPr>
            </w:pPr>
            <w:r w:rsidRPr="00D253EB">
              <w:t xml:space="preserve"> $      714,409,100.00 </w:t>
            </w:r>
          </w:p>
        </w:tc>
        <w:tc>
          <w:tcPr>
            <w:tcW w:w="2329" w:type="dxa"/>
          </w:tcPr>
          <w:p w14:paraId="2134EC37" w14:textId="57A01719" w:rsidR="003052E0" w:rsidRPr="00153E3D" w:rsidRDefault="003052E0" w:rsidP="003052E0">
            <w:pPr>
              <w:rPr>
                <w:lang w:val="es-419"/>
              </w:rPr>
            </w:pPr>
            <w:r w:rsidRPr="00D253EB">
              <w:t xml:space="preserve"> $      115,549,962.00 </w:t>
            </w:r>
          </w:p>
        </w:tc>
        <w:tc>
          <w:tcPr>
            <w:tcW w:w="2348" w:type="dxa"/>
          </w:tcPr>
          <w:p w14:paraId="0656C54A" w14:textId="40371E2C" w:rsidR="003052E0" w:rsidRPr="00153E3D" w:rsidRDefault="003052E0" w:rsidP="003052E0">
            <w:pPr>
              <w:rPr>
                <w:lang w:val="es-419"/>
              </w:rPr>
            </w:pPr>
            <w:r w:rsidRPr="00D253EB">
              <w:t>84%</w:t>
            </w:r>
          </w:p>
        </w:tc>
      </w:tr>
      <w:tr w:rsidR="003052E0" w:rsidRPr="00153E3D" w14:paraId="51558D92" w14:textId="77777777" w:rsidTr="00F2155B">
        <w:tc>
          <w:tcPr>
            <w:tcW w:w="2350" w:type="dxa"/>
          </w:tcPr>
          <w:p w14:paraId="7CB4A7F7" w14:textId="77777777" w:rsidR="003052E0" w:rsidRPr="00EC2E35" w:rsidRDefault="003052E0" w:rsidP="003052E0">
            <w:pPr>
              <w:rPr>
                <w:b/>
                <w:bCs/>
                <w:lang w:val="es-419"/>
              </w:rPr>
            </w:pPr>
            <w:proofErr w:type="gramStart"/>
            <w:r w:rsidRPr="00EC2E35">
              <w:rPr>
                <w:b/>
                <w:bCs/>
                <w:lang w:val="es-419"/>
              </w:rPr>
              <w:t>Total</w:t>
            </w:r>
            <w:proofErr w:type="gramEnd"/>
            <w:r w:rsidRPr="00EC2E35">
              <w:rPr>
                <w:b/>
                <w:bCs/>
                <w:lang w:val="es-419"/>
              </w:rPr>
              <w:t xml:space="preserve"> general</w:t>
            </w:r>
          </w:p>
        </w:tc>
        <w:tc>
          <w:tcPr>
            <w:tcW w:w="2323" w:type="dxa"/>
          </w:tcPr>
          <w:p w14:paraId="399CA75E" w14:textId="45CC9041" w:rsidR="003052E0" w:rsidRPr="00153E3D" w:rsidRDefault="003052E0" w:rsidP="003052E0">
            <w:pPr>
              <w:rPr>
                <w:lang w:val="es-419"/>
              </w:rPr>
            </w:pPr>
            <w:r w:rsidRPr="00D253EB">
              <w:t xml:space="preserve"> </w:t>
            </w:r>
            <w:proofErr w:type="gramStart"/>
            <w:r w:rsidRPr="00D253EB">
              <w:t>$  6,032,832,530.00</w:t>
            </w:r>
            <w:proofErr w:type="gramEnd"/>
            <w:r w:rsidRPr="00D253EB">
              <w:t xml:space="preserve"> </w:t>
            </w:r>
          </w:p>
        </w:tc>
        <w:tc>
          <w:tcPr>
            <w:tcW w:w="2329" w:type="dxa"/>
          </w:tcPr>
          <w:p w14:paraId="49CD85B5" w14:textId="115709AA" w:rsidR="003052E0" w:rsidRPr="00153E3D" w:rsidRDefault="003052E0" w:rsidP="003052E0">
            <w:pPr>
              <w:rPr>
                <w:lang w:val="es-419"/>
              </w:rPr>
            </w:pPr>
            <w:r w:rsidRPr="00D253EB">
              <w:t xml:space="preserve"> $ 1,201,398,274.00 </w:t>
            </w:r>
          </w:p>
        </w:tc>
        <w:tc>
          <w:tcPr>
            <w:tcW w:w="2348" w:type="dxa"/>
          </w:tcPr>
          <w:p w14:paraId="6C8F524F" w14:textId="3E7D4516" w:rsidR="003052E0" w:rsidRPr="00153E3D" w:rsidRDefault="003052E0" w:rsidP="003052E0">
            <w:pPr>
              <w:rPr>
                <w:lang w:val="es-419"/>
              </w:rPr>
            </w:pPr>
            <w:r w:rsidRPr="00D253EB">
              <w:t>80%</w:t>
            </w:r>
          </w:p>
        </w:tc>
      </w:tr>
    </w:tbl>
    <w:p w14:paraId="5A0E97C1" w14:textId="531A6B57" w:rsidR="009C1DEF" w:rsidRPr="00831AFC" w:rsidRDefault="003052E0">
      <w:pPr>
        <w:rPr>
          <w:lang w:val="es-AR"/>
        </w:rPr>
      </w:pPr>
      <w:r>
        <w:rPr>
          <w:lang w:val="es-AR"/>
        </w:rPr>
        <w:t xml:space="preserve"> </w:t>
      </w:r>
    </w:p>
    <w:sectPr w:rsidR="009C1DEF" w:rsidRPr="00831AFC">
      <w:type w:val="continuous"/>
      <w:pgSz w:w="12240" w:h="15840"/>
      <w:pgMar w:top="15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899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63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3"/>
    <w:rsid w:val="00050DE6"/>
    <w:rsid w:val="00173C04"/>
    <w:rsid w:val="002638B0"/>
    <w:rsid w:val="002B1E4D"/>
    <w:rsid w:val="003052E0"/>
    <w:rsid w:val="003439ED"/>
    <w:rsid w:val="003A55D9"/>
    <w:rsid w:val="003E0EDB"/>
    <w:rsid w:val="00447B09"/>
    <w:rsid w:val="004B5893"/>
    <w:rsid w:val="004D0FE9"/>
    <w:rsid w:val="00524294"/>
    <w:rsid w:val="00542183"/>
    <w:rsid w:val="005E20B0"/>
    <w:rsid w:val="006A6381"/>
    <w:rsid w:val="006B7CB9"/>
    <w:rsid w:val="006C6EEF"/>
    <w:rsid w:val="006F6F52"/>
    <w:rsid w:val="00796642"/>
    <w:rsid w:val="00831AFC"/>
    <w:rsid w:val="009C1A09"/>
    <w:rsid w:val="009C1DEF"/>
    <w:rsid w:val="009D077F"/>
    <w:rsid w:val="00AB6A8C"/>
    <w:rsid w:val="00B212BB"/>
    <w:rsid w:val="00C10BDE"/>
    <w:rsid w:val="00D83123"/>
    <w:rsid w:val="00D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978F"/>
  <w15:docId w15:val="{7D7203B6-FD73-4916-A192-0D23DCFB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jc w:val="right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E4D"/>
    <w:rPr>
      <w:rFonts w:ascii="Tahoma" w:eastAsia="Cambria Math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1AFC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831AFC"/>
    <w:pPr>
      <w:widowControl/>
      <w:numPr>
        <w:numId w:val="1"/>
      </w:numPr>
      <w:autoSpaceDE/>
      <w:autoSpaceDN/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1407</Characters>
  <Application>Microsoft Office Word</Application>
  <DocSecurity>4</DocSecurity>
  <Lines>70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Andre</dc:creator>
  <cp:lastModifiedBy>Bailey, Danelsa</cp:lastModifiedBy>
  <cp:revision>2</cp:revision>
  <dcterms:created xsi:type="dcterms:W3CDTF">2026-02-04T19:17:00Z</dcterms:created>
  <dcterms:modified xsi:type="dcterms:W3CDTF">2026-02-04T19:17:00Z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2016</vt:lpwstr>
  </property>
</Properties>
</file>