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4B2291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8FE575" wp14:editId="3C6284E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0.75pt;height:0.1pt;margin-top:507.15pt;margin-left:435.75pt;mso-position-horizontal-relative:page;mso-position-vertical-relative:page;mso-wrap-distance-bottom:0;mso-wrap-distance-left:0;mso-wrap-distance-right:0;mso-wrap-distance-top:0;mso-wrap-style:square;position:absolute;visibility:visible;v-text-anchor:top;z-index:251659264" coordsize="9525,1270" path="m9394,l,,9394,xe" fillcolor="#d3d3d3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A90A19A" wp14:editId="09946013">
            <wp:extent cx="2352675" cy="45720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77777777" w:rsidR="00D83123" w:rsidRDefault="004B2291">
      <w:pPr>
        <w:pStyle w:val="Title"/>
        <w:jc w:val="center"/>
      </w:pPr>
      <w:r>
        <w:rPr>
          <w:color w:val="1B1B1B"/>
          <w:u w:color="1B1B1B"/>
          <w:lang w:val="sq-AL"/>
        </w:rPr>
        <w:t>Shumat e Faturuara Përgjithësisht (AGB)</w:t>
      </w:r>
    </w:p>
    <w:p w14:paraId="5A0E9792" w14:textId="5009E8A7" w:rsidR="00D83123" w:rsidRDefault="004B2291">
      <w:pPr>
        <w:pStyle w:val="Title"/>
        <w:spacing w:before="358"/>
        <w:ind w:left="120"/>
      </w:pPr>
      <w:r>
        <w:rPr>
          <w:color w:val="1B1B1B"/>
          <w:lang w:val="sq-AL"/>
        </w:rPr>
        <w:t xml:space="preserve">Llogaritja e AGB sipas </w:t>
      </w:r>
      <w:r w:rsidR="00BF4FBA">
        <w:rPr>
          <w:color w:val="1B1B1B"/>
          <w:lang w:val="sq-AL"/>
        </w:rPr>
        <w:t>m</w:t>
      </w:r>
      <w:r>
        <w:rPr>
          <w:color w:val="1B1B1B"/>
          <w:lang w:val="sq-AL"/>
        </w:rPr>
        <w:t>etodës “</w:t>
      </w:r>
      <w:r w:rsidR="00BF4FBA">
        <w:rPr>
          <w:i/>
          <w:iCs/>
          <w:color w:val="1B1B1B"/>
          <w:lang w:val="sq-AL"/>
        </w:rPr>
        <w:t>l</w:t>
      </w:r>
      <w:r w:rsidRPr="00BF4FBA">
        <w:rPr>
          <w:i/>
          <w:iCs/>
          <w:color w:val="1B1B1B"/>
          <w:lang w:val="sq-AL"/>
        </w:rPr>
        <w:t>ook-</w:t>
      </w:r>
      <w:r w:rsidR="00BF4FBA">
        <w:rPr>
          <w:i/>
          <w:iCs/>
          <w:color w:val="1B1B1B"/>
          <w:lang w:val="sq-AL"/>
        </w:rPr>
        <w:t>b</w:t>
      </w:r>
      <w:r w:rsidRPr="00BF4FBA">
        <w:rPr>
          <w:i/>
          <w:iCs/>
          <w:color w:val="1B1B1B"/>
          <w:lang w:val="sq-AL"/>
        </w:rPr>
        <w:t>ack</w:t>
      </w:r>
      <w:r>
        <w:rPr>
          <w:color w:val="1B1B1B"/>
          <w:lang w:val="sq-AL"/>
        </w:rPr>
        <w:t>”</w:t>
      </w:r>
    </w:p>
    <w:p w14:paraId="5A0E9794" w14:textId="3131C8F3" w:rsidR="00D83123" w:rsidRPr="007A7826" w:rsidRDefault="004B2291" w:rsidP="00905B99">
      <w:pPr>
        <w:pStyle w:val="BodyText"/>
        <w:spacing w:before="152" w:line="276" w:lineRule="auto"/>
        <w:ind w:left="120"/>
        <w:rPr>
          <w:lang w:val="sq-AL"/>
        </w:rPr>
      </w:pPr>
      <w:r>
        <w:rPr>
          <w:color w:val="1B1B1B"/>
          <w:lang w:val="sq-AL"/>
        </w:rPr>
        <w:t xml:space="preserve">Në bazë të metodës së “look-back” për përcaktimin e AGB-së, një institucion spitalor e përcakton AGB-në për çdo kujdes të urgjencës ose kujdes tjetër mjekësor të nevojshëm, të ofruar për një individ që kualifikohet për FAP, duke shumëzuar </w:t>
      </w:r>
      <w:r w:rsidR="00905B99">
        <w:rPr>
          <w:color w:val="1B1B1B"/>
          <w:lang w:val="sq-AL"/>
        </w:rPr>
        <w:t>tarifimet</w:t>
      </w:r>
      <w:r>
        <w:rPr>
          <w:color w:val="1B1B1B"/>
          <w:lang w:val="sq-AL"/>
        </w:rPr>
        <w:t xml:space="preserve"> bruto të institucionit spitalor për atë kujdes me një ose më shumë përqindje të </w:t>
      </w:r>
      <w:r w:rsidR="009D603B">
        <w:rPr>
          <w:color w:val="1B1B1B"/>
          <w:lang w:val="sq-AL"/>
        </w:rPr>
        <w:t>tarifimeve</w:t>
      </w:r>
      <w:r>
        <w:rPr>
          <w:color w:val="1B1B1B"/>
          <w:lang w:val="sq-AL"/>
        </w:rPr>
        <w:t xml:space="preserve"> bruto, të njohura me emrin përqindjet e AGB-së. Institucionet spitalore duhet të llogarisin përqindjet e tyre të AGB-së të paktën një herë në vit, duke pjesëtuar shumën e të gjitha pretendimeve të tyre për kujdes të urgjencës ose kujdes tjetër mjekësor të nevojshëm që janë lejuar nga sigurues të caktuar shëndetësorë gjatë një periudhe 12-mujore të mëparshme, me shumën e tarifimeve bruto të bashkëlidhura me a</w:t>
      </w:r>
      <w:r>
        <w:rPr>
          <w:color w:val="1B1B1B"/>
          <w:lang w:val="sq-AL"/>
        </w:rPr>
        <w:t>to pretendime.  Spitali e llogarit AGB-në duke përdorur pretendimet nga Medicare dhe ato komerciale.</w:t>
      </w:r>
    </w:p>
    <w:p w14:paraId="5A0E9795" w14:textId="77777777" w:rsidR="00D83123" w:rsidRPr="007A7826" w:rsidRDefault="004B2291">
      <w:pPr>
        <w:pStyle w:val="BodyText"/>
        <w:spacing w:before="51"/>
        <w:rPr>
          <w:sz w:val="20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366530" wp14:editId="6DD4A353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width:458.25pt;height:1.5pt;margin-top:15.5pt;margin-left:1in;mso-position-horizontal-relative:page;mso-wrap-distance-bottom:0;mso-wrap-distance-left:0;mso-wrap-distance-right:0;mso-wrap-distance-top:0;mso-wrap-style:square;position:absolute;visibility:visible;v-text-anchor:top;z-index:-251653120" coordsize="5819775,19050" path="m,19050l5819775,e" filled="f">
                <v:path arrowok="t"/>
                <w10:wrap type="topAndBottom"/>
              </v:shape>
            </w:pict>
          </mc:Fallback>
        </mc:AlternateContent>
      </w:r>
    </w:p>
    <w:p w14:paraId="5A0E9796" w14:textId="77777777" w:rsidR="00D83123" w:rsidRPr="007A7826" w:rsidRDefault="00D83123">
      <w:pPr>
        <w:pStyle w:val="BodyText"/>
        <w:spacing w:before="91"/>
        <w:rPr>
          <w:lang w:val="sq-AL"/>
        </w:rPr>
      </w:pPr>
    </w:p>
    <w:p w14:paraId="5A0E9797" w14:textId="66B27182" w:rsidR="00D83123" w:rsidRDefault="004B2291">
      <w:pPr>
        <w:ind w:left="120"/>
        <w:rPr>
          <w:b/>
          <w:sz w:val="32"/>
        </w:rPr>
      </w:pPr>
      <w:r>
        <w:rPr>
          <w:b/>
          <w:bCs/>
          <w:color w:val="1B1B1B"/>
          <w:sz w:val="32"/>
          <w:szCs w:val="32"/>
          <w:highlight w:val="yellow"/>
          <w:lang w:val="sq-AL"/>
        </w:rPr>
        <w:t>Viti tatimor AGB 2026</w:t>
      </w:r>
      <w:r>
        <w:rPr>
          <w:b/>
          <w:bCs/>
          <w:color w:val="1B1B1B"/>
          <w:sz w:val="32"/>
          <w:szCs w:val="32"/>
          <w:highlight w:val="yellow"/>
          <w:lang w:val="sq-AL"/>
        </w:rPr>
        <w:t xml:space="preserve"> (1 tetor 2024</w:t>
      </w:r>
      <w:r>
        <w:rPr>
          <w:b/>
          <w:bCs/>
          <w:color w:val="1B1B1B"/>
          <w:sz w:val="32"/>
          <w:szCs w:val="32"/>
          <w:highlight w:val="yellow"/>
          <w:lang w:val="sq-AL"/>
        </w:rPr>
        <w:t xml:space="preserve"> – 30 shtator 2025</w:t>
      </w:r>
      <w:r>
        <w:rPr>
          <w:b/>
          <w:bCs/>
          <w:color w:val="1B1B1B"/>
          <w:sz w:val="32"/>
          <w:szCs w:val="32"/>
          <w:highlight w:val="yellow"/>
          <w:lang w:val="sq-AL"/>
        </w:rPr>
        <w:t>)</w:t>
      </w:r>
    </w:p>
    <w:p w14:paraId="5A0E9798" w14:textId="13FA53EB" w:rsidR="00D83123" w:rsidRDefault="004B2291">
      <w:pPr>
        <w:pStyle w:val="BodyText"/>
        <w:spacing w:before="35" w:after="1"/>
        <w:rPr>
          <w:b/>
          <w:sz w:val="20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8A8C89" wp14:editId="0B3E0E1C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" o:spid="_x0000_s1027" style="width:180.8pt;height:120pt;margin-top:387pt;margin-left:618.7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251661312" coordsize="4620260,1524000" path="m,1523964l4619755,1523964l4619755,,,,,1523964xe" fillcolor="black" stroked="f">
                <v:path arrowok="t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4"/>
        <w:gridCol w:w="2129"/>
        <w:gridCol w:w="2129"/>
        <w:gridCol w:w="2336"/>
      </w:tblGrid>
      <w:tr w:rsidR="000F3D9F" w:rsidRPr="00CB3401" w14:paraId="167E999D" w14:textId="77777777" w:rsidTr="004B2291">
        <w:tc>
          <w:tcPr>
            <w:tcW w:w="2924" w:type="dxa"/>
          </w:tcPr>
          <w:p w14:paraId="3BF30688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Departamenti</w:t>
            </w:r>
          </w:p>
        </w:tc>
        <w:tc>
          <w:tcPr>
            <w:tcW w:w="2129" w:type="dxa"/>
          </w:tcPr>
          <w:p w14:paraId="754E6C2A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Tarifimi gjithsej</w:t>
            </w:r>
          </w:p>
        </w:tc>
        <w:tc>
          <w:tcPr>
            <w:tcW w:w="2129" w:type="dxa"/>
          </w:tcPr>
          <w:p w14:paraId="5C988283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Faturimi gjithsej</w:t>
            </w:r>
          </w:p>
        </w:tc>
        <w:tc>
          <w:tcPr>
            <w:tcW w:w="2336" w:type="dxa"/>
          </w:tcPr>
          <w:p w14:paraId="61D3D426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Përqindja e AGB-së (Zbritja)</w:t>
            </w:r>
          </w:p>
        </w:tc>
      </w:tr>
      <w:tr w:rsidR="004B2291" w:rsidRPr="00CB3401" w14:paraId="464ADF51" w14:textId="77777777" w:rsidTr="004B2291">
        <w:tc>
          <w:tcPr>
            <w:tcW w:w="2924" w:type="dxa"/>
          </w:tcPr>
          <w:p w14:paraId="11D7CD6B" w14:textId="7777777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Të gjitha shërbimet e tjera</w:t>
            </w:r>
          </w:p>
        </w:tc>
        <w:tc>
          <w:tcPr>
            <w:tcW w:w="2129" w:type="dxa"/>
          </w:tcPr>
          <w:p w14:paraId="1EF029E3" w14:textId="255F9043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$2,941,682,580.00 </w:t>
            </w:r>
          </w:p>
        </w:tc>
        <w:tc>
          <w:tcPr>
            <w:tcW w:w="2129" w:type="dxa"/>
          </w:tcPr>
          <w:p w14:paraId="7E839CCA" w14:textId="6287F271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 $ 613,885,591.00 </w:t>
            </w:r>
          </w:p>
        </w:tc>
        <w:tc>
          <w:tcPr>
            <w:tcW w:w="2336" w:type="dxa"/>
          </w:tcPr>
          <w:p w14:paraId="1A22DB7C" w14:textId="4756E8F0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>79%</w:t>
            </w:r>
          </w:p>
        </w:tc>
      </w:tr>
      <w:tr w:rsidR="004B2291" w:rsidRPr="00CB3401" w14:paraId="538B1267" w14:textId="77777777" w:rsidTr="004B2291">
        <w:tc>
          <w:tcPr>
            <w:tcW w:w="2924" w:type="dxa"/>
          </w:tcPr>
          <w:p w14:paraId="4165F3E7" w14:textId="7777777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Urgjenca</w:t>
            </w:r>
          </w:p>
        </w:tc>
        <w:tc>
          <w:tcPr>
            <w:tcW w:w="2129" w:type="dxa"/>
          </w:tcPr>
          <w:p w14:paraId="7F4AB7B6" w14:textId="77CD3CB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$663,943,460.00 </w:t>
            </w:r>
          </w:p>
        </w:tc>
        <w:tc>
          <w:tcPr>
            <w:tcW w:w="2129" w:type="dxa"/>
          </w:tcPr>
          <w:p w14:paraId="7076B64D" w14:textId="617A789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 $ 127,005,821.00 </w:t>
            </w:r>
          </w:p>
        </w:tc>
        <w:tc>
          <w:tcPr>
            <w:tcW w:w="2336" w:type="dxa"/>
          </w:tcPr>
          <w:p w14:paraId="153CAB7A" w14:textId="6C331175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>81%</w:t>
            </w:r>
          </w:p>
        </w:tc>
      </w:tr>
      <w:tr w:rsidR="004B2291" w:rsidRPr="00CB3401" w14:paraId="32BC4E58" w14:textId="77777777" w:rsidTr="004B2291">
        <w:tc>
          <w:tcPr>
            <w:tcW w:w="2924" w:type="dxa"/>
          </w:tcPr>
          <w:p w14:paraId="194DE445" w14:textId="7777777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Laboratori</w:t>
            </w:r>
          </w:p>
        </w:tc>
        <w:tc>
          <w:tcPr>
            <w:tcW w:w="2129" w:type="dxa"/>
          </w:tcPr>
          <w:p w14:paraId="5C3ADF4A" w14:textId="56BAF240" w:rsidR="004B2291" w:rsidRPr="00CB3401" w:rsidRDefault="004B2291" w:rsidP="004B229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</w:rPr>
            </w:pPr>
            <w:r>
              <w:t>$</w:t>
            </w:r>
            <w:r w:rsidRPr="00D253EB">
              <w:t xml:space="preserve">195,990,497.00 </w:t>
            </w:r>
          </w:p>
        </w:tc>
        <w:tc>
          <w:tcPr>
            <w:tcW w:w="2129" w:type="dxa"/>
          </w:tcPr>
          <w:p w14:paraId="59950AE0" w14:textId="0ABC9545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 $ 15,994,313.00 </w:t>
            </w:r>
          </w:p>
        </w:tc>
        <w:tc>
          <w:tcPr>
            <w:tcW w:w="2336" w:type="dxa"/>
          </w:tcPr>
          <w:p w14:paraId="45CF09EB" w14:textId="7E31A046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>92%</w:t>
            </w:r>
          </w:p>
        </w:tc>
      </w:tr>
      <w:tr w:rsidR="004B2291" w:rsidRPr="00CB3401" w14:paraId="41C9FBD2" w14:textId="77777777" w:rsidTr="004B2291">
        <w:tc>
          <w:tcPr>
            <w:tcW w:w="2924" w:type="dxa"/>
          </w:tcPr>
          <w:p w14:paraId="7D1654DD" w14:textId="7777777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Onkologjia mjekësore</w:t>
            </w:r>
          </w:p>
        </w:tc>
        <w:tc>
          <w:tcPr>
            <w:tcW w:w="2129" w:type="dxa"/>
          </w:tcPr>
          <w:p w14:paraId="5CC2ACC0" w14:textId="4700BE08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$ 499,999,467.00 </w:t>
            </w:r>
          </w:p>
        </w:tc>
        <w:tc>
          <w:tcPr>
            <w:tcW w:w="2129" w:type="dxa"/>
          </w:tcPr>
          <w:p w14:paraId="336A355E" w14:textId="44569DF3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 $ 89,326,238.00 </w:t>
            </w:r>
          </w:p>
        </w:tc>
        <w:tc>
          <w:tcPr>
            <w:tcW w:w="2336" w:type="dxa"/>
          </w:tcPr>
          <w:p w14:paraId="0C8E150B" w14:textId="50DE977D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>82%</w:t>
            </w:r>
          </w:p>
        </w:tc>
      </w:tr>
      <w:tr w:rsidR="004B2291" w:rsidRPr="00CB3401" w14:paraId="15FED13C" w14:textId="77777777" w:rsidTr="004B2291">
        <w:tc>
          <w:tcPr>
            <w:tcW w:w="2924" w:type="dxa"/>
          </w:tcPr>
          <w:p w14:paraId="7CCE834C" w14:textId="7777777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Kirurgjia ambulatore</w:t>
            </w:r>
          </w:p>
        </w:tc>
        <w:tc>
          <w:tcPr>
            <w:tcW w:w="2129" w:type="dxa"/>
          </w:tcPr>
          <w:p w14:paraId="198FFCEA" w14:textId="030B7BC3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$1,016,807,426.00 </w:t>
            </w:r>
          </w:p>
        </w:tc>
        <w:tc>
          <w:tcPr>
            <w:tcW w:w="2129" w:type="dxa"/>
          </w:tcPr>
          <w:p w14:paraId="43E64BB0" w14:textId="2C0A59EC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 $ 239,636,349.00 </w:t>
            </w:r>
          </w:p>
        </w:tc>
        <w:tc>
          <w:tcPr>
            <w:tcW w:w="2336" w:type="dxa"/>
          </w:tcPr>
          <w:p w14:paraId="74F27EFE" w14:textId="06666C35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>76%</w:t>
            </w:r>
          </w:p>
        </w:tc>
      </w:tr>
      <w:tr w:rsidR="004B2291" w:rsidRPr="00CB3401" w14:paraId="5B6387BD" w14:textId="77777777" w:rsidTr="004B2291">
        <w:tc>
          <w:tcPr>
            <w:tcW w:w="2924" w:type="dxa"/>
          </w:tcPr>
          <w:p w14:paraId="6BADA11E" w14:textId="7777777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Radiologjia</w:t>
            </w:r>
          </w:p>
        </w:tc>
        <w:tc>
          <w:tcPr>
            <w:tcW w:w="2129" w:type="dxa"/>
          </w:tcPr>
          <w:p w14:paraId="7F0AF02F" w14:textId="256DB002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$ 714,409,100.00 </w:t>
            </w:r>
          </w:p>
        </w:tc>
        <w:tc>
          <w:tcPr>
            <w:tcW w:w="2129" w:type="dxa"/>
          </w:tcPr>
          <w:p w14:paraId="61AD37AE" w14:textId="24CFC3CD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 $ 115,549,962.00 </w:t>
            </w:r>
          </w:p>
        </w:tc>
        <w:tc>
          <w:tcPr>
            <w:tcW w:w="2336" w:type="dxa"/>
          </w:tcPr>
          <w:p w14:paraId="4D3DEABF" w14:textId="2251DFE8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>84%</w:t>
            </w:r>
          </w:p>
        </w:tc>
      </w:tr>
      <w:tr w:rsidR="004B2291" w:rsidRPr="00CB3401" w14:paraId="3D154713" w14:textId="77777777" w:rsidTr="004B2291">
        <w:tc>
          <w:tcPr>
            <w:tcW w:w="2924" w:type="dxa"/>
          </w:tcPr>
          <w:p w14:paraId="145B3C26" w14:textId="77777777" w:rsidR="004B2291" w:rsidRPr="00CB3401" w:rsidRDefault="004B2291" w:rsidP="004B2291">
            <w:pPr>
              <w:rPr>
                <w:rFonts w:asciiTheme="majorHAnsi" w:eastAsia="Aptos" w:hAnsiTheme="majorHAnsi" w:cs="Times New Roman"/>
                <w:lang w:val="sq-AL"/>
              </w:rPr>
            </w:pPr>
            <w:proofErr w:type="spellStart"/>
            <w:r w:rsidRPr="00CB3401">
              <w:rPr>
                <w:rFonts w:asciiTheme="majorHAnsi" w:hAnsiTheme="majorHAnsi"/>
                <w:b/>
                <w:bCs/>
              </w:rPr>
              <w:t>Totali</w:t>
            </w:r>
            <w:proofErr w:type="spellEnd"/>
          </w:p>
        </w:tc>
        <w:tc>
          <w:tcPr>
            <w:tcW w:w="2129" w:type="dxa"/>
          </w:tcPr>
          <w:p w14:paraId="0B1F3328" w14:textId="0D5C8B35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$6,032,832,530.00 </w:t>
            </w:r>
          </w:p>
        </w:tc>
        <w:tc>
          <w:tcPr>
            <w:tcW w:w="2129" w:type="dxa"/>
          </w:tcPr>
          <w:p w14:paraId="46FA4598" w14:textId="65CB3DD8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 xml:space="preserve">$1,201,398,274.00 </w:t>
            </w:r>
          </w:p>
        </w:tc>
        <w:tc>
          <w:tcPr>
            <w:tcW w:w="2336" w:type="dxa"/>
          </w:tcPr>
          <w:p w14:paraId="0A4CBDAD" w14:textId="3A079907" w:rsidR="004B2291" w:rsidRPr="00CB3401" w:rsidRDefault="004B2291" w:rsidP="004B2291">
            <w:pPr>
              <w:rPr>
                <w:rFonts w:asciiTheme="majorHAnsi" w:hAnsiTheme="majorHAnsi"/>
              </w:rPr>
            </w:pPr>
            <w:r w:rsidRPr="00D253EB">
              <w:t>80%</w:t>
            </w:r>
          </w:p>
        </w:tc>
      </w:tr>
    </w:tbl>
    <w:p w14:paraId="5A0E97C1" w14:textId="37062E3F" w:rsidR="009C1DEF" w:rsidRDefault="004B2291">
      <w:r>
        <w:t xml:space="preserve"> </w:t>
      </w:r>
    </w:p>
    <w:sectPr w:rsidR="009C1DEF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60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21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F3D9F"/>
    <w:rsid w:val="00173C04"/>
    <w:rsid w:val="002528B2"/>
    <w:rsid w:val="002638B0"/>
    <w:rsid w:val="003439ED"/>
    <w:rsid w:val="003A55D9"/>
    <w:rsid w:val="00447B09"/>
    <w:rsid w:val="004B2291"/>
    <w:rsid w:val="004B5893"/>
    <w:rsid w:val="004D0FE9"/>
    <w:rsid w:val="00542183"/>
    <w:rsid w:val="006A6381"/>
    <w:rsid w:val="006B7CB9"/>
    <w:rsid w:val="007A7826"/>
    <w:rsid w:val="0082492C"/>
    <w:rsid w:val="00874415"/>
    <w:rsid w:val="00905B99"/>
    <w:rsid w:val="009C1DEF"/>
    <w:rsid w:val="009D603B"/>
    <w:rsid w:val="00AB6A8C"/>
    <w:rsid w:val="00B212BB"/>
    <w:rsid w:val="00BF4FBA"/>
    <w:rsid w:val="00C10BDE"/>
    <w:rsid w:val="00CB3401"/>
    <w:rsid w:val="00D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F3D9F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F3D9F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1272</Characters>
  <Application>Microsoft Office Word</Application>
  <DocSecurity>4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2026-02-04T18:36:00Z</dcterms:created>
  <dcterms:modified xsi:type="dcterms:W3CDTF">2026-02-04T18:36:00Z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